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АГЕНТСКИЙ ДОГОВОР № 13</w:t>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г.Владивосток «1» июля 2022 г.</w:t>
      </w:r>
    </w:p>
    <w:p w:rsidR="00000000" w:rsidDel="00000000" w:rsidP="00000000" w:rsidRDefault="00000000" w:rsidRPr="00000000" w14:paraId="00000003">
      <w:pPr>
        <w:spacing w:after="0" w:line="240" w:lineRule="auto"/>
        <w:ind w:firstLine="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Индивидуальный предприниматель Кушкин Вячеслав Олегович, в дальнейшем именуемый «Агент» действующего на основании свидетельства о государственной регистрации 320703100018558 от 18 июня 2020 г., с одной стороны и </w:t>
      </w:r>
      <w:r w:rsidDel="00000000" w:rsidR="00000000" w:rsidRPr="00000000">
        <w:rPr>
          <w:rFonts w:ascii="Times New Roman" w:cs="Times New Roman" w:eastAsia="Times New Roman" w:hAnsi="Times New Roman"/>
          <w:b w:val="1"/>
          <w:rtl w:val="0"/>
        </w:rPr>
        <w:t xml:space="preserve">ФИО</w:t>
      </w:r>
      <w:r w:rsidDel="00000000" w:rsidR="00000000" w:rsidRPr="00000000">
        <w:rPr>
          <w:rFonts w:ascii="Times New Roman" w:cs="Times New Roman" w:eastAsia="Times New Roman" w:hAnsi="Times New Roman"/>
          <w:rtl w:val="0"/>
        </w:rPr>
        <w:t xml:space="preserve">, паспорт №  именуемый в дальнейшем «Принципал», с другой стороны, заключили настоящий договор о нижеследующем:</w:t>
      </w:r>
    </w:p>
    <w:p w:rsidR="00000000" w:rsidDel="00000000" w:rsidP="00000000" w:rsidRDefault="00000000" w:rsidRPr="00000000" w14:paraId="000000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ПРЕДМЕТ ДОГОВОРА</w:t>
      </w:r>
    </w:p>
    <w:p w:rsidR="00000000" w:rsidDel="00000000" w:rsidP="00000000" w:rsidRDefault="00000000" w:rsidRPr="00000000" w14:paraId="0000000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 обязуется за вознаграждение, по поручению Принципала и за его счет приобрести и доставить товар (далее Груз), указанный в Предварительном соглашении с Принципалом (далее Поручение).</w:t>
      </w:r>
    </w:p>
    <w:p w:rsidR="00000000" w:rsidDel="00000000" w:rsidP="00000000" w:rsidRDefault="00000000" w:rsidRPr="00000000" w14:paraId="0000000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выполнения данного поручения Агент обязуется от своего имени, но за счет Принципала совершить следующие действия:</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приобрести Груз на иностранных торговых площадках Японии, США,</w:t>
      </w:r>
      <w:r w:rsidDel="00000000" w:rsidR="00000000" w:rsidRPr="00000000">
        <w:rPr>
          <w:rFonts w:ascii="Times New Roman" w:cs="Times New Roman" w:eastAsia="Times New Roman" w:hAnsi="Times New Roman"/>
          <w:rtl w:val="0"/>
        </w:rPr>
        <w:t xml:space="preserve">Кореи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,ОАЭ;</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доставить Груз с места приобретения в г. Владивосток.</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оказать услуги, связанные с организацией доставки Груза с места приобретения </w:t>
      </w:r>
      <w:r w:rsidDel="00000000" w:rsidR="00000000" w:rsidRPr="00000000">
        <w:rPr>
          <w:rFonts w:ascii="Times New Roman" w:cs="Times New Roman" w:eastAsia="Times New Roman" w:hAnsi="Times New Roman"/>
          <w:rtl w:val="0"/>
        </w:rPr>
        <w:t xml:space="preserve">до места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назначения, указанного в Поручении, в том числе связанные с декларированием, таможенной очисткой, проведением экспертиз и оценок, необходимые для доставки груза до места назначения.</w:t>
      </w:r>
    </w:p>
    <w:p w:rsidR="00000000" w:rsidDel="00000000" w:rsidP="00000000" w:rsidRDefault="00000000" w:rsidRPr="00000000" w14:paraId="0000000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Договор вступает в силу с момента его подписания и действует до полного исполнения обязательств, и в случаях, предусмотренных данным Договором.</w:t>
      </w:r>
    </w:p>
    <w:p w:rsidR="00000000" w:rsidDel="00000000" w:rsidP="00000000" w:rsidRDefault="00000000" w:rsidRPr="00000000" w14:paraId="0000000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исполнения настоящего Договора к нему составляются Приложения 1 (Лист описания груза).</w:t>
      </w:r>
    </w:p>
    <w:p w:rsidR="00000000" w:rsidDel="00000000" w:rsidP="00000000" w:rsidRDefault="00000000" w:rsidRPr="00000000" w14:paraId="0000000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Стороны договорились считать подписанным и действительным сканированные (фото) копии документов (договор и приложение) вне зависимости от последующего предоставления оригиналов.</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ОПЛАТА И КОМИССИОННОЕ </w:t>
      </w:r>
      <w:r w:rsidDel="00000000" w:rsidR="00000000" w:rsidRPr="00000000">
        <w:rPr>
          <w:rFonts w:ascii="Times New Roman" w:cs="Times New Roman" w:eastAsia="Times New Roman" w:hAnsi="Times New Roman"/>
          <w:rtl w:val="0"/>
        </w:rPr>
        <w:t xml:space="preserve">ВОЗНАГРАЖДЕНИЕ</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основании Поручения, Принципал вносит в адрес Агента гарантийный депозит в размере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50 000 (пятьдесят тысяч) рублей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если Принципал принимает решение об отмене Поручения ДО фактической покупки, согласованного с Принципалом Груза, указанного в настоящем Предварительном соглашении (в период поиска), депозит возвращается Принципалу за вычетом комиссии банка (</w:t>
      </w:r>
      <w:r w:rsidDel="00000000" w:rsidR="00000000" w:rsidRPr="00000000">
        <w:rPr>
          <w:rFonts w:ascii="Times New Roman" w:cs="Times New Roman" w:eastAsia="Times New Roman" w:hAnsi="Times New Roman"/>
          <w:rtl w:val="0"/>
        </w:rPr>
        <w:t xml:space="preserve">2 процента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7-дневный срок, после уведомления Агента. Уведомление должно быть составлено Принципалом в простой письменной форме, отсканировано и отправлено на электронную почту Агента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vyacheslav.kushkin@yandex.ru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или оформлено лично в офисе Агента или его представителя.</w:t>
      </w:r>
    </w:p>
    <w:p w:rsidR="00000000" w:rsidDel="00000000" w:rsidP="00000000" w:rsidRDefault="00000000" w:rsidRPr="00000000" w14:paraId="0000001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если Принципал принимает решение об </w:t>
      </w:r>
      <w:r w:rsidDel="00000000" w:rsidR="00000000" w:rsidRPr="00000000">
        <w:rPr>
          <w:rFonts w:ascii="Times New Roman" w:cs="Times New Roman" w:eastAsia="Times New Roman" w:hAnsi="Times New Roman"/>
          <w:rtl w:val="0"/>
        </w:rPr>
        <w:t xml:space="preserve">отмене Поручения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ПОСЛЕ приобретения Груза на иностранной торговой площадке – депозит Принципалу не возвращается и идет на погашение штрафов и расходов, связанных с возвратом Груза на торговую площадку.</w:t>
      </w:r>
    </w:p>
    <w:p w:rsidR="00000000" w:rsidDel="00000000" w:rsidP="00000000" w:rsidRDefault="00000000" w:rsidRPr="00000000" w14:paraId="0000001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данному договору Принципал обязан оплатить стоимость Груза на иностранных торговых площадках, аукционные и прочие сборы, таможенные пошлины, экспедиторские услуги сторонних организаций, услуги банков по конвертации и переводу денег, а также стоимости всех необходимых работ, которые будут произведены в интересах Принципала. Данные денежные средства не являются доходами Агента.</w:t>
      </w:r>
    </w:p>
    <w:p w:rsidR="00000000" w:rsidDel="00000000" w:rsidP="00000000" w:rsidRDefault="00000000" w:rsidRPr="00000000" w14:paraId="0000001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Максимальная стоимость Груза указывается в Поручении на подбор Груза и может быть изменена после фактической покупки Груза на иностранных торговых площадках, с согласия обеих сторон. </w:t>
      </w:r>
    </w:p>
    <w:p w:rsidR="00000000" w:rsidDel="00000000" w:rsidP="00000000" w:rsidRDefault="00000000" w:rsidRPr="00000000" w14:paraId="0000001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Итоговая стоимость Груза указывается в пункте 2.9 и складывается из трех частей указанных в пункте 2.8 настоящего договора.</w:t>
      </w:r>
    </w:p>
    <w:p w:rsidR="00000000" w:rsidDel="00000000" w:rsidP="00000000" w:rsidRDefault="00000000" w:rsidRPr="00000000" w14:paraId="0000001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Вознаграждение Агента составляет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30 000 (тридцать тысяч) рублей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(НДС не облагается), входит в итоговую стоимость Груза.</w:t>
      </w:r>
    </w:p>
    <w:p w:rsidR="00000000" w:rsidDel="00000000" w:rsidP="00000000" w:rsidRDefault="00000000" w:rsidRPr="00000000" w14:paraId="0000001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Оплата Груза производится тремя частями:</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Первая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депозит при заключении Предварительного соглашения.</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Вторая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–стоимость Груза на иностранных торговых площадках, аукционные сборы, экспедиторские, стивидорные и иные услуги (Согласно графе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Итого расходов по Японии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).Оплачивается Принципалом в трехдневный срок с момента покупки, путем перевода денежных средств иностранном агенту, согласно предоставленному Агентом инвойсу и подтверждается предоставлением </w:t>
      </w:r>
      <w:r w:rsidDel="00000000" w:rsidR="00000000" w:rsidRPr="00000000">
        <w:rPr>
          <w:rFonts w:ascii="Times New Roman" w:cs="Times New Roman" w:eastAsia="Times New Roman" w:hAnsi="Times New Roman"/>
          <w:rtl w:val="0"/>
        </w:rPr>
        <w:t xml:space="preserve">Агенту Платежного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поручения с отметкой банка.</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Третья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платежи, связанные с таможенной очисткой Груза, его доставки до места назначения, оплачивается Принципалом, в трехдневный срок с момента получения груза с таможни.</w:t>
      </w:r>
    </w:p>
    <w:p w:rsidR="00000000" w:rsidDel="00000000" w:rsidP="00000000" w:rsidRDefault="00000000" w:rsidRPr="00000000" w14:paraId="0000001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Итоговая стоимость Груза составляет   (         ) рублей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случае если Принципал не производит оплату согласно пункту 2.8 настоящего Договора, либо проводит ее не полностью или с нарушением сроков, Агент вправе не приступать к оказанию услуг по настоящему Договору либо приостановить их оказания до момента полной оплаты. В этом случае ответственность за любые негативные последствия такой задержки для Принципала, Агента и любых третьих лиц несет Принципал. Кроме того, Агент вправе удержать пеню в размере 0.2% в день от суммы, необходимой к оплате или </w:t>
      </w:r>
      <w:r w:rsidDel="00000000" w:rsidR="00000000" w:rsidRPr="00000000">
        <w:rPr>
          <w:rFonts w:ascii="Times New Roman" w:cs="Times New Roman" w:eastAsia="Times New Roman" w:hAnsi="Times New Roman"/>
          <w:rtl w:val="0"/>
        </w:rPr>
        <w:t xml:space="preserve">рассчитать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конечную стоимость Груза на день фактической оплаты, при этом решение о выборе расчета остается за Агентом.</w:t>
      </w:r>
    </w:p>
    <w:p w:rsidR="00000000" w:rsidDel="00000000" w:rsidP="00000000" w:rsidRDefault="00000000" w:rsidRPr="00000000" w14:paraId="0000001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случае если Принципал не проводит оплату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третьей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части согласно пункту 2.8 в установленный срок (3 дня с момента оповещения), Принципал оплачивает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хранение Груза в размере 300 (триста) рублей в сутки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Если Принципал отменит данное им Агенту Поручение после того, как Груз был приобретено, то он обязан уплатить Агенту вознаграждение в полном объеме, а также возместить Агенту понесенные им, до отмены Поручения и в связи с такой отменой, расходы, в случае если они превысили размер внесенного Принципалом депозита. Расходы оплачиваются согласно выставленному Агентом счету.</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ПРАВА И ОБЯЗАННОСТИ СТОРОН</w:t>
      </w:r>
    </w:p>
    <w:p w:rsidR="00000000" w:rsidDel="00000000" w:rsidP="00000000" w:rsidRDefault="00000000" w:rsidRPr="00000000" w14:paraId="0000002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Принципал обязан:</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оплатить Груз согласно пункту 2.8 настоящего договора;</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оказать необходимое содействие в исполнении Поручения, предусмотренного настоящим Договором;</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подписать Акт приема-передачи Груза (Приложение 2), в случае соответствия Груза в Приложении 1, фактически доставленному.</w:t>
      </w:r>
    </w:p>
    <w:p w:rsidR="00000000" w:rsidDel="00000000" w:rsidP="00000000" w:rsidRDefault="00000000" w:rsidRPr="00000000" w14:paraId="0000002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 обязан:</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заключении сделок руководствоваться интересами Принципала, соблюдать действующее законодательство, своевременно информировать Принципала об изменениях и условиях выполнения Поручения.</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обеспечить своевременную доставку Груза (30 рабочих дней с момента погрузки на автовоз).</w:t>
      </w:r>
    </w:p>
    <w:p w:rsidR="00000000" w:rsidDel="00000000" w:rsidP="00000000" w:rsidRDefault="00000000" w:rsidRPr="00000000" w14:paraId="0000002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Принципал вправе:</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отказаться от исполнения настоящего Договора при условии оплаты Агенту фактически понесенных им расходов и комиссии компании, указанной в пункте 2.7 настоящего Договора.</w:t>
      </w:r>
    </w:p>
    <w:p w:rsidR="00000000" w:rsidDel="00000000" w:rsidP="00000000" w:rsidRDefault="00000000" w:rsidRPr="00000000" w14:paraId="0000002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 вправе:</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целях исполнения договора заключить субагентский договор с другим лицом. Субагент не вправе заключать с третьими лицами сделки от имени лица, являющегося Принципалом по агентскому договору, за исключением случаев, прямо предусмотренных субагентским договором.</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удерживать находящиеся в его распоряжении Груз, указанный в Приложении 1 к настоящему Договору, до уплаты вознаграждения и возмещения, понесенных им в интересах Принципала расходов, или до предоставления Принципалом надлежащего обеспечения исполнения своих обязательств в части уплаты вознаграждения и возмещения понесенных расходов. В этом случае Принципал также оплачивает расходы, связанные с удержанием Груза.</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ДОСТАВКА И ПЕРЕДАЧА</w:t>
      </w:r>
    </w:p>
    <w:p w:rsidR="00000000" w:rsidDel="00000000" w:rsidP="00000000" w:rsidRDefault="00000000" w:rsidRPr="00000000" w14:paraId="0000002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Доставка Груза осуществляется до места, указанного в Приложении 1 к настоящему Договору в срок, не превышающий 30 суток с момента погрузки Груза на автовоз.</w:t>
      </w:r>
    </w:p>
    <w:p w:rsidR="00000000" w:rsidDel="00000000" w:rsidP="00000000" w:rsidRDefault="00000000" w:rsidRPr="00000000" w14:paraId="0000002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несоблюдении установленного срока доставки Агент обязан уплатить Принципалу пени в размере 0,1% от размера второй части указанной в пункте 2.8 настоящего договора, за каждый день просрочки, при этом штраф не может превышать 5% от этой суммы, причем иные суммы, вытекающие из несоблюдения установленного сроков доставки, Агентом не компенсируются.</w:t>
      </w:r>
    </w:p>
    <w:p w:rsidR="00000000" w:rsidDel="00000000" w:rsidP="00000000" w:rsidRDefault="00000000" w:rsidRPr="00000000" w14:paraId="0000003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 вправе привлекать третьих лиц для организации доставки Груза из портов РФ до места назначения, указанного Принципалом в </w:t>
      </w:r>
      <w:r w:rsidDel="00000000" w:rsidR="00000000" w:rsidRPr="00000000">
        <w:rPr>
          <w:rFonts w:ascii="Times New Roman" w:cs="Times New Roman" w:eastAsia="Times New Roman" w:hAnsi="Times New Roman"/>
          <w:rtl w:val="0"/>
        </w:rPr>
        <w:t xml:space="preserve">Приложении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повреждения или утраты Груза перевозчиком, Агент </w:t>
      </w:r>
      <w:r w:rsidDel="00000000" w:rsidR="00000000" w:rsidRPr="00000000">
        <w:rPr>
          <w:rFonts w:ascii="Times New Roman" w:cs="Times New Roman" w:eastAsia="Times New Roman" w:hAnsi="Times New Roman"/>
          <w:rtl w:val="0"/>
        </w:rPr>
        <w:t xml:space="preserve">возмещает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полную стоимость Груза Принципалу или компенсирует ущерб, нанесенный Грузу до момента его передачи.</w:t>
      </w:r>
    </w:p>
    <w:p w:rsidR="00000000" w:rsidDel="00000000" w:rsidP="00000000" w:rsidRDefault="00000000" w:rsidRPr="00000000" w14:paraId="0000003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 или его представитель передает Груз, указанный в Приложении 1 к настоящему договору, Принципалу или его представителю (при наличии заверенной Принципалом доверенности) в конечном пункте назначения, о чем составляется Акт приема-передачи, после подписания которого, договор считается исполненным и материальные претензии к сторонам не принимаются.</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ПОРЯДОК РАЗРЕШЕНИЯ СПОРОВ, </w:t>
      </w:r>
      <w:r w:rsidDel="00000000" w:rsidR="00000000" w:rsidRPr="00000000">
        <w:rPr>
          <w:rFonts w:ascii="Times New Roman" w:cs="Times New Roman" w:eastAsia="Times New Roman" w:hAnsi="Times New Roman"/>
          <w:rtl w:val="0"/>
        </w:rPr>
        <w:t xml:space="preserve">ОТВЕТСТВЕННОСТЬ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СТОРОН</w:t>
      </w:r>
    </w:p>
    <w:p w:rsidR="00000000" w:rsidDel="00000000" w:rsidP="00000000" w:rsidRDefault="00000000" w:rsidRPr="00000000" w14:paraId="0000003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споры или разногласия, возникающие между сторонами по настоящему Договору или в связи с ними, решаются путем переговоров.</w:t>
      </w:r>
    </w:p>
    <w:p w:rsidR="00000000" w:rsidDel="00000000" w:rsidP="00000000" w:rsidRDefault="00000000" w:rsidRPr="00000000" w14:paraId="0000003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Претензионное досудебное производство является обязательным условием для передачи спора в суд.</w:t>
      </w:r>
    </w:p>
    <w:p w:rsidR="00000000" w:rsidDel="00000000" w:rsidP="00000000" w:rsidRDefault="00000000" w:rsidRPr="00000000" w14:paraId="0000003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Если иное не предусмотрено настоящим Договором,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000000" w:rsidDel="00000000" w:rsidP="00000000" w:rsidRDefault="00000000" w:rsidRPr="00000000" w14:paraId="0000003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 в любом случае не несет перед Принципалом ответственность за упущенную Принципалом выгоду, вытекающую из выполнения сторонами данного Договора.</w:t>
      </w:r>
    </w:p>
    <w:p w:rsidR="00000000" w:rsidDel="00000000" w:rsidP="00000000" w:rsidRDefault="00000000" w:rsidRPr="00000000" w14:paraId="0000003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Принципал понимает и согласен что:</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приобретает на иностранных торговых площадках, через Агента, Груз бывший в употреблении;</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принимает возможные дефекты Груза, связанные с его эксплуатацией предыдущим собственником;</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 не выступает в качестве продавца Груза, а осуществляет его приобретение и доставку с иностранных торговых площадок, по поручению Принципала;</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ДЕЙСТВИЕ </w:t>
      </w:r>
      <w:r w:rsidDel="00000000" w:rsidR="00000000" w:rsidRPr="00000000">
        <w:rPr>
          <w:rFonts w:ascii="Times New Roman" w:cs="Times New Roman" w:eastAsia="Times New Roman" w:hAnsi="Times New Roman"/>
          <w:rtl w:val="0"/>
        </w:rPr>
        <w:t xml:space="preserve">НЕПРЕОДОЛИМОЙ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СИЛЫ</w:t>
      </w:r>
    </w:p>
    <w:p w:rsidR="00000000" w:rsidDel="00000000" w:rsidP="00000000" w:rsidRDefault="00000000" w:rsidRPr="00000000" w14:paraId="0000003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Ни одна из сторон не несет ответственности перед другой стороной за задержку или невыполнение обязательств, обусловленных обстоятельствами непреодолимой силы, возникшими помимо воли или желания сторон, которые нельзя было избежать или предвидеть, такие как объявление или фактическая войну, правительственные указы, гражданские волнения, эпидемии, блокаду,эмбарго, а также ураганы, землетрясения, наводнения, пожары и другие стихийные бедствия.</w:t>
      </w:r>
    </w:p>
    <w:p w:rsidR="00000000" w:rsidDel="00000000" w:rsidP="00000000" w:rsidRDefault="00000000" w:rsidRPr="00000000" w14:paraId="0000004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Сторона, которая не может исполнить своих обязательств, вследствие действия непреодолимой силы, обязаны известить другую сторону об указанных обстоятельствах.</w:t>
      </w:r>
    </w:p>
    <w:p w:rsidR="00000000" w:rsidDel="00000000" w:rsidP="00000000" w:rsidRDefault="00000000" w:rsidRPr="00000000" w14:paraId="0000004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связи с возникшими обстоятельствами непреодолимой силы стороны должны подписать протокол о прекращении действия настоящего Договора, либо согласовывать совместные действия по преодолению неблагоприятных последствий указанных обстоятельств.</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ДЕЙСТВИЯ И ОСНОВАНИЯ ПРЕКРАЩЕНИЯ ДОГОВОРА</w:t>
      </w:r>
    </w:p>
    <w:p w:rsidR="00000000" w:rsidDel="00000000" w:rsidP="00000000" w:rsidRDefault="00000000" w:rsidRPr="00000000" w14:paraId="0000004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Договор заключается без указания срока действия.</w:t>
      </w:r>
    </w:p>
    <w:p w:rsidR="00000000" w:rsidDel="00000000" w:rsidP="00000000" w:rsidRDefault="00000000" w:rsidRPr="00000000" w14:paraId="0000004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Договор считается </w:t>
      </w:r>
      <w:r w:rsidDel="00000000" w:rsidR="00000000" w:rsidRPr="00000000">
        <w:rPr>
          <w:rFonts w:ascii="Times New Roman" w:cs="Times New Roman" w:eastAsia="Times New Roman" w:hAnsi="Times New Roman"/>
          <w:rtl w:val="0"/>
        </w:rPr>
        <w:t xml:space="preserve">заключенным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 дня его подписания.</w:t>
      </w:r>
    </w:p>
    <w:p w:rsidR="00000000" w:rsidDel="00000000" w:rsidP="00000000" w:rsidRDefault="00000000" w:rsidRPr="00000000" w14:paraId="0000004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Договор прекращает свою силу вследствие отказа одной из сторон от исполнения Договора, по причинам, указанным в Договоре.</w:t>
      </w:r>
    </w:p>
    <w:p w:rsidR="00000000" w:rsidDel="00000000" w:rsidP="00000000" w:rsidRDefault="00000000" w:rsidRPr="00000000" w14:paraId="0000004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Договор прекращает свою силу после подписания сторонами Акта приема-передачи.</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ПРОЧИЕ УСЛОВИЯ</w:t>
      </w:r>
    </w:p>
    <w:p w:rsidR="00000000" w:rsidDel="00000000" w:rsidP="00000000" w:rsidRDefault="00000000" w:rsidRPr="00000000" w14:paraId="0000004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изменения и дополнения к Договору считаются действительными, если они оформлены в письменном виде и подписаны сторонами.</w:t>
      </w:r>
    </w:p>
    <w:p w:rsidR="00000000" w:rsidDel="00000000" w:rsidP="00000000" w:rsidRDefault="00000000" w:rsidRPr="00000000" w14:paraId="0000004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После подписания настоящего Договора все предыдущие письменные и устные соглашения, переговоры и переписки между сторонами теряют силу, если на них отсутствует ссылка в Договоре.</w:t>
      </w:r>
    </w:p>
    <w:p w:rsidR="00000000" w:rsidDel="00000000" w:rsidP="00000000" w:rsidRDefault="00000000" w:rsidRPr="00000000" w14:paraId="0000004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Приложения к настоящему Договору </w:t>
      </w:r>
      <w:r w:rsidDel="00000000" w:rsidR="00000000" w:rsidRPr="00000000">
        <w:rPr>
          <w:rFonts w:ascii="Times New Roman" w:cs="Times New Roman" w:eastAsia="Times New Roman" w:hAnsi="Times New Roman"/>
          <w:rtl w:val="0"/>
        </w:rPr>
        <w:t xml:space="preserve">являются неотъемлемой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частью, и без них Договор считается не имеющим юридической силы.</w:t>
      </w:r>
    </w:p>
    <w:p w:rsidR="00000000" w:rsidDel="00000000" w:rsidP="00000000" w:rsidRDefault="00000000" w:rsidRPr="00000000" w14:paraId="0000004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 всем остальном, что не оговорено в настоящем </w:t>
      </w:r>
      <w:r w:rsidDel="00000000" w:rsidR="00000000" w:rsidRPr="00000000">
        <w:rPr>
          <w:rFonts w:ascii="Times New Roman" w:cs="Times New Roman" w:eastAsia="Times New Roman" w:hAnsi="Times New Roman"/>
          <w:rtl w:val="0"/>
        </w:rPr>
        <w:t xml:space="preserve">договоре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стороны руководствуются действующим законодательством РФ.</w:t>
      </w:r>
    </w:p>
    <w:p w:rsidR="00000000" w:rsidDel="00000000" w:rsidP="00000000" w:rsidRDefault="00000000" w:rsidRPr="00000000" w14:paraId="0000004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Настоящий Договор составлен в двух экземплярах на русском языке, имеющих равную юридическую силу, по одному экземпляру для каждой стороны.</w:t>
      </w:r>
    </w:p>
    <w:p w:rsidR="00000000" w:rsidDel="00000000" w:rsidP="00000000" w:rsidRDefault="00000000" w:rsidRPr="00000000" w14:paraId="0000004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Стороны договорились, что электронные скан копии данного Договора принимаются так же, как и бумажные.</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ЮРИДИЧЕСКИЕ </w:t>
      </w:r>
      <w:r w:rsidDel="00000000" w:rsidR="00000000" w:rsidRPr="00000000">
        <w:rPr>
          <w:rFonts w:ascii="Times New Roman" w:cs="Times New Roman" w:eastAsia="Times New Roman" w:hAnsi="Times New Roman"/>
          <w:rtl w:val="0"/>
        </w:rPr>
        <w:t xml:space="preserve">АДРЕСА 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РЕКВИЗИТЫ СТОРОН</w:t>
      </w:r>
    </w:p>
    <w:tbl>
      <w:tblPr>
        <w:tblStyle w:val="Table1"/>
        <w:tblW w:w="94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6"/>
        <w:gridCol w:w="4761"/>
        <w:tblGridChange w:id="0">
          <w:tblGrid>
            <w:gridCol w:w="4726"/>
            <w:gridCol w:w="4761"/>
          </w:tblGrid>
        </w:tblGridChange>
      </w:tblGrid>
      <w:tr>
        <w:trPr>
          <w:cantSplit w:val="0"/>
          <w:tblHeader w:val="0"/>
        </w:trPr>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Принципал</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6">
            <w:pPr>
              <w:tabs>
                <w:tab w:val="left" w:pos="426"/>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ФИО</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tabs>
                <w:tab w:val="left" w:pos="426"/>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Паспорт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tabs>
                <w:tab w:val="left" w:pos="426"/>
              </w:tabs>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Телефон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Агент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ФИО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КУШКИН ВЯЧЕСЛАВ ОЛЕГОВИЧ</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Паспорт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0319 175454 ВЫДАН ГУ МВД РОССИИ ПО КРАСНОДАРСКОМУ КРАЮ 07.12.2018</w:t>
            </w:r>
          </w:p>
          <w:p w:rsidR="00000000" w:rsidDel="00000000" w:rsidP="00000000" w:rsidRDefault="00000000" w:rsidRPr="00000000" w14:paraId="0000005C">
            <w:pPr>
              <w:tabs>
                <w:tab w:val="left" w:pos="426"/>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Номер счета: 40817810300031108274</w:t>
            </w:r>
          </w:p>
          <w:p w:rsidR="00000000" w:rsidDel="00000000" w:rsidP="00000000" w:rsidRDefault="00000000" w:rsidRPr="00000000" w14:paraId="0000005D">
            <w:pPr>
              <w:tabs>
                <w:tab w:val="left" w:pos="426"/>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Банк получателя: АО «Тинькофф Банк»</w:t>
            </w:r>
          </w:p>
          <w:p w:rsidR="00000000" w:rsidDel="00000000" w:rsidP="00000000" w:rsidRDefault="00000000" w:rsidRPr="00000000" w14:paraId="0000005E">
            <w:pPr>
              <w:tabs>
                <w:tab w:val="left" w:pos="426"/>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Корр. счет: 30101810145250000974</w:t>
            </w:r>
          </w:p>
          <w:p w:rsidR="00000000" w:rsidDel="00000000" w:rsidP="00000000" w:rsidRDefault="00000000" w:rsidRPr="00000000" w14:paraId="0000005F">
            <w:pPr>
              <w:tabs>
                <w:tab w:val="left" w:pos="426"/>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ИНН: 701733560075</w:t>
            </w:r>
          </w:p>
          <w:p w:rsidR="00000000" w:rsidDel="00000000" w:rsidP="00000000" w:rsidRDefault="00000000" w:rsidRPr="00000000" w14:paraId="00000060">
            <w:pPr>
              <w:tabs>
                <w:tab w:val="left" w:pos="426"/>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 044525974</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Томск ул.Карла Ильмера 10/3 кв 248</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Телефон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89384432220</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ПОДПИСЬ СТОРОН</w:t>
      </w:r>
    </w:p>
    <w:p w:rsidR="00000000" w:rsidDel="00000000" w:rsidP="00000000" w:rsidRDefault="00000000" w:rsidRPr="00000000" w14:paraId="00000069">
      <w:pPr>
        <w:shd w:fill="ffffff" w:val="clear"/>
        <w:jc w:val="right"/>
        <w:rPr>
          <w:color w:val="000000"/>
          <w:sz w:val="30"/>
          <w:szCs w:val="30"/>
        </w:rPr>
      </w:pPr>
      <w:r w:rsidDel="00000000" w:rsidR="00000000" w:rsidRPr="00000000">
        <w:rPr>
          <w:color w:val="000000"/>
          <w:sz w:val="30"/>
          <w:szCs w:val="30"/>
          <w:rtl w:val="0"/>
        </w:rPr>
        <w:t xml:space="preserve">                                  </w:t>
      </w:r>
    </w:p>
    <w:p w:rsidR="00000000" w:rsidDel="00000000" w:rsidP="00000000" w:rsidRDefault="00000000" w:rsidRPr="00000000" w14:paraId="0000006A">
      <w:pPr>
        <w:shd w:fill="ffffff" w:val="clear"/>
        <w:jc w:val="right"/>
        <w:rPr>
          <w:color w:val="000000"/>
          <w:sz w:val="30"/>
          <w:szCs w:val="30"/>
        </w:rPr>
      </w:pPr>
      <w:r w:rsidDel="00000000" w:rsidR="00000000" w:rsidRPr="00000000">
        <w:rPr>
          <w:rtl w:val="0"/>
        </w:rPr>
      </w:r>
    </w:p>
    <w:p w:rsidR="00000000" w:rsidDel="00000000" w:rsidP="00000000" w:rsidRDefault="00000000" w:rsidRPr="00000000" w14:paraId="0000006B">
      <w:pPr>
        <w:shd w:fill="ffffff" w:val="clear"/>
        <w:jc w:val="right"/>
        <w:rPr>
          <w:color w:val="000000"/>
          <w:sz w:val="30"/>
          <w:szCs w:val="30"/>
        </w:rPr>
      </w:pPr>
      <w:r w:rsidDel="00000000" w:rsidR="00000000" w:rsidRPr="00000000">
        <w:rPr>
          <w:rtl w:val="0"/>
        </w:rPr>
      </w:r>
    </w:p>
    <w:p w:rsidR="00000000" w:rsidDel="00000000" w:rsidP="00000000" w:rsidRDefault="00000000" w:rsidRPr="00000000" w14:paraId="0000006C">
      <w:pPr>
        <w:shd w:fill="ffffff" w:val="clear"/>
        <w:jc w:val="right"/>
        <w:rPr>
          <w:color w:val="000000"/>
          <w:sz w:val="30"/>
          <w:szCs w:val="30"/>
        </w:rPr>
      </w:pPr>
      <w:r w:rsidDel="00000000" w:rsidR="00000000" w:rsidRPr="00000000">
        <w:rPr>
          <w:rtl w:val="0"/>
        </w:rPr>
      </w:r>
    </w:p>
    <w:p w:rsidR="00000000" w:rsidDel="00000000" w:rsidP="00000000" w:rsidRDefault="00000000" w:rsidRPr="00000000" w14:paraId="0000006D">
      <w:pPr>
        <w:shd w:fill="ffffff" w:val="clear"/>
        <w:jc w:val="right"/>
        <w:rPr>
          <w:color w:val="000000"/>
          <w:sz w:val="30"/>
          <w:szCs w:val="30"/>
        </w:rPr>
      </w:pPr>
      <w:r w:rsidDel="00000000" w:rsidR="00000000" w:rsidRPr="00000000">
        <w:rPr>
          <w:rtl w:val="0"/>
        </w:rPr>
      </w:r>
    </w:p>
    <w:p w:rsidR="00000000" w:rsidDel="00000000" w:rsidP="00000000" w:rsidRDefault="00000000" w:rsidRPr="00000000" w14:paraId="0000006E">
      <w:pPr>
        <w:shd w:fill="ffffff" w:val="clear"/>
        <w:jc w:val="right"/>
        <w:rPr>
          <w:color w:val="000000"/>
          <w:sz w:val="30"/>
          <w:szCs w:val="30"/>
        </w:rPr>
      </w:pPr>
      <w:r w:rsidDel="00000000" w:rsidR="00000000" w:rsidRPr="00000000">
        <w:rPr>
          <w:rtl w:val="0"/>
        </w:rPr>
      </w:r>
    </w:p>
    <w:p w:rsidR="00000000" w:rsidDel="00000000" w:rsidP="00000000" w:rsidRDefault="00000000" w:rsidRPr="00000000" w14:paraId="0000006F">
      <w:pPr>
        <w:shd w:fill="ffffff" w:val="clear"/>
        <w:jc w:val="right"/>
        <w:rPr>
          <w:color w:val="000000"/>
          <w:sz w:val="30"/>
          <w:szCs w:val="30"/>
        </w:rPr>
      </w:pPr>
      <w:r w:rsidDel="00000000" w:rsidR="00000000" w:rsidRPr="00000000">
        <w:rPr>
          <w:rtl w:val="0"/>
        </w:rPr>
      </w:r>
    </w:p>
    <w:p w:rsidR="00000000" w:rsidDel="00000000" w:rsidP="00000000" w:rsidRDefault="00000000" w:rsidRPr="00000000" w14:paraId="00000070">
      <w:pPr>
        <w:shd w:fill="ffffff" w:val="clear"/>
        <w:jc w:val="right"/>
        <w:rPr>
          <w:color w:val="000000"/>
          <w:sz w:val="30"/>
          <w:szCs w:val="30"/>
        </w:rPr>
      </w:pPr>
      <w:r w:rsidDel="00000000" w:rsidR="00000000" w:rsidRPr="00000000">
        <w:rPr>
          <w:rtl w:val="0"/>
        </w:rPr>
      </w:r>
    </w:p>
    <w:p w:rsidR="00000000" w:rsidDel="00000000" w:rsidP="00000000" w:rsidRDefault="00000000" w:rsidRPr="00000000" w14:paraId="00000071">
      <w:pPr>
        <w:shd w:fill="ffffff" w:val="clear"/>
        <w:jc w:val="right"/>
        <w:rPr>
          <w:color w:val="000000"/>
          <w:sz w:val="30"/>
          <w:szCs w:val="30"/>
        </w:rPr>
      </w:pPr>
      <w:r w:rsidDel="00000000" w:rsidR="00000000" w:rsidRPr="00000000">
        <w:rPr>
          <w:rtl w:val="0"/>
        </w:rPr>
      </w:r>
    </w:p>
    <w:p w:rsidR="00000000" w:rsidDel="00000000" w:rsidP="00000000" w:rsidRDefault="00000000" w:rsidRPr="00000000" w14:paraId="00000072">
      <w:pPr>
        <w:shd w:fill="ffffff" w:val="clear"/>
        <w:jc w:val="right"/>
        <w:rPr>
          <w:color w:val="000000"/>
          <w:sz w:val="30"/>
          <w:szCs w:val="30"/>
        </w:rPr>
      </w:pPr>
      <w:r w:rsidDel="00000000" w:rsidR="00000000" w:rsidRPr="00000000">
        <w:rPr>
          <w:rtl w:val="0"/>
        </w:rPr>
      </w:r>
    </w:p>
    <w:p w:rsidR="00000000" w:rsidDel="00000000" w:rsidP="00000000" w:rsidRDefault="00000000" w:rsidRPr="00000000" w14:paraId="00000073">
      <w:pPr>
        <w:shd w:fill="ffffff" w:val="clear"/>
        <w:jc w:val="right"/>
        <w:rPr>
          <w:color w:val="000000"/>
          <w:sz w:val="30"/>
          <w:szCs w:val="30"/>
        </w:rPr>
      </w:pPr>
      <w:r w:rsidDel="00000000" w:rsidR="00000000" w:rsidRPr="00000000">
        <w:rPr>
          <w:rtl w:val="0"/>
        </w:rPr>
      </w:r>
    </w:p>
    <w:p w:rsidR="00000000" w:rsidDel="00000000" w:rsidP="00000000" w:rsidRDefault="00000000" w:rsidRPr="00000000" w14:paraId="00000074">
      <w:pPr>
        <w:shd w:fill="ffffff" w:val="clear"/>
        <w:jc w:val="left"/>
        <w:rPr>
          <w:color w:val="000000"/>
          <w:sz w:val="30"/>
          <w:szCs w:val="30"/>
        </w:rPr>
      </w:pPr>
      <w:r w:rsidDel="00000000" w:rsidR="00000000" w:rsidRPr="00000000">
        <w:rPr>
          <w:rtl w:val="0"/>
        </w:rPr>
      </w:r>
    </w:p>
    <w:p w:rsidR="00000000" w:rsidDel="00000000" w:rsidP="00000000" w:rsidRDefault="00000000" w:rsidRPr="00000000" w14:paraId="00000075">
      <w:pPr>
        <w:jc w:val="right"/>
        <w:rPr/>
      </w:pPr>
      <w:r w:rsidDel="00000000" w:rsidR="00000000" w:rsidRPr="00000000">
        <w:rPr>
          <w:sz w:val="30"/>
          <w:szCs w:val="30"/>
          <w:rtl w:val="0"/>
        </w:rPr>
        <w:t xml:space="preserve"> </w:t>
      </w:r>
      <w:r w:rsidDel="00000000" w:rsidR="00000000" w:rsidRPr="00000000">
        <w:rPr>
          <w:rtl w:val="0"/>
        </w:rPr>
        <w:t xml:space="preserve">Приложение № 1</w:t>
      </w:r>
    </w:p>
    <w:p w:rsidR="00000000" w:rsidDel="00000000" w:rsidP="00000000" w:rsidRDefault="00000000" w:rsidRPr="00000000" w14:paraId="00000076">
      <w:pPr>
        <w:jc w:val="right"/>
        <w:rPr/>
      </w:pPr>
      <w:r w:rsidDel="00000000" w:rsidR="00000000" w:rsidRPr="00000000">
        <w:rPr>
          <w:rtl w:val="0"/>
        </w:rPr>
        <w:t xml:space="preserve">к договору оказания №13</w:t>
      </w:r>
    </w:p>
    <w:p w:rsidR="00000000" w:rsidDel="00000000" w:rsidP="00000000" w:rsidRDefault="00000000" w:rsidRPr="00000000" w14:paraId="00000077">
      <w:pPr>
        <w:jc w:val="right"/>
        <w:rPr>
          <w:i w:val="1"/>
        </w:rPr>
      </w:pPr>
      <w:r w:rsidDel="00000000" w:rsidR="00000000" w:rsidRPr="00000000">
        <w:rPr>
          <w:i w:val="1"/>
          <w:rtl w:val="0"/>
        </w:rPr>
        <w:t xml:space="preserve">                                                                                                               </w:t>
      </w:r>
    </w:p>
    <w:p w:rsidR="00000000" w:rsidDel="00000000" w:rsidP="00000000" w:rsidRDefault="00000000" w:rsidRPr="00000000" w14:paraId="00000078">
      <w:pPr>
        <w:jc w:val="right"/>
        <w:rPr/>
      </w:pPr>
      <w:r w:rsidDel="00000000" w:rsidR="00000000" w:rsidRPr="00000000">
        <w:rPr>
          <w:rtl w:val="0"/>
        </w:rPr>
        <w:t xml:space="preserve">от «01» июля 2022г.</w:t>
      </w:r>
    </w:p>
    <w:p w:rsidR="00000000" w:rsidDel="00000000" w:rsidP="00000000" w:rsidRDefault="00000000" w:rsidRPr="00000000" w14:paraId="00000079">
      <w:pPr>
        <w:shd w:fill="ffffff" w:val="clear"/>
        <w:jc w:val="center"/>
        <w:rPr>
          <w:i w:val="1"/>
          <w:color w:val="000000"/>
        </w:rPr>
      </w:pPr>
      <w:r w:rsidDel="00000000" w:rsidR="00000000" w:rsidRPr="00000000">
        <w:rPr>
          <w:b w:val="1"/>
          <w:i w:val="1"/>
          <w:color w:val="000000"/>
          <w:rtl w:val="0"/>
        </w:rPr>
        <w:t xml:space="preserve">                                                                 </w:t>
      </w:r>
      <w:r w:rsidDel="00000000" w:rsidR="00000000" w:rsidRPr="00000000">
        <w:rPr>
          <w:i w:val="1"/>
          <w:color w:val="000000"/>
          <w:rtl w:val="0"/>
        </w:rPr>
        <w:t xml:space="preserve">  </w:t>
      </w:r>
    </w:p>
    <w:p w:rsidR="00000000" w:rsidDel="00000000" w:rsidP="00000000" w:rsidRDefault="00000000" w:rsidRPr="00000000" w14:paraId="0000007A">
      <w:pPr>
        <w:shd w:fill="ffffff" w:val="clear"/>
        <w:spacing w:after="450" w:before="280" w:lineRule="auto"/>
        <w:jc w:val="center"/>
        <w:rPr>
          <w:color w:val="000000"/>
          <w:sz w:val="30"/>
          <w:szCs w:val="30"/>
        </w:rPr>
      </w:pPr>
      <w:r w:rsidDel="00000000" w:rsidR="00000000" w:rsidRPr="00000000">
        <w:rPr>
          <w:rtl w:val="0"/>
        </w:rPr>
      </w:r>
    </w:p>
    <w:tbl>
      <w:tblPr>
        <w:tblStyle w:val="Table2"/>
        <w:tblW w:w="94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
        <w:gridCol w:w="1699"/>
        <w:gridCol w:w="1067"/>
        <w:gridCol w:w="1071"/>
        <w:gridCol w:w="1706"/>
        <w:gridCol w:w="1710"/>
        <w:gridCol w:w="1708"/>
        <w:tblGridChange w:id="0">
          <w:tblGrid>
            <w:gridCol w:w="526"/>
            <w:gridCol w:w="1699"/>
            <w:gridCol w:w="1067"/>
            <w:gridCol w:w="1071"/>
            <w:gridCol w:w="1706"/>
            <w:gridCol w:w="1710"/>
            <w:gridCol w:w="1708"/>
          </w:tblGrid>
        </w:tblGridChange>
      </w:tblGrid>
      <w:tr>
        <w:trPr>
          <w:cantSplit w:val="0"/>
          <w:tblHeader w:val="0"/>
        </w:trPr>
        <w:tc>
          <w:tcPr>
            <w:shd w:fill="ffffff" w:val="clear"/>
            <w:tcMar>
              <w:top w:w="75.0" w:type="dxa"/>
              <w:left w:w="150.0" w:type="dxa"/>
              <w:bottom w:w="75.0" w:type="dxa"/>
              <w:right w:w="150.0" w:type="dxa"/>
            </w:tcMar>
          </w:tcPr>
          <w:p w:rsidR="00000000" w:rsidDel="00000000" w:rsidP="00000000" w:rsidRDefault="00000000" w:rsidRPr="00000000" w14:paraId="0000007B">
            <w:pPr>
              <w:spacing w:after="450" w:lineRule="auto"/>
              <w:rPr>
                <w:color w:val="000000"/>
              </w:rPr>
            </w:pPr>
            <w:r w:rsidDel="00000000" w:rsidR="00000000" w:rsidRPr="00000000">
              <w:rPr>
                <w:color w:val="000000"/>
                <w:rtl w:val="0"/>
              </w:rPr>
              <w:t xml:space="preserve">№</w:t>
            </w:r>
          </w:p>
        </w:tc>
        <w:tc>
          <w:tcPr>
            <w:shd w:fill="ffffff" w:val="clear"/>
            <w:tcMar>
              <w:top w:w="75.0" w:type="dxa"/>
              <w:left w:w="150.0" w:type="dxa"/>
              <w:bottom w:w="75.0" w:type="dxa"/>
              <w:right w:w="150.0" w:type="dxa"/>
            </w:tcMar>
          </w:tcPr>
          <w:p w:rsidR="00000000" w:rsidDel="00000000" w:rsidP="00000000" w:rsidRDefault="00000000" w:rsidRPr="00000000" w14:paraId="0000007C">
            <w:pPr>
              <w:spacing w:after="450" w:lineRule="auto"/>
              <w:jc w:val="center"/>
              <w:rPr>
                <w:color w:val="000000"/>
              </w:rPr>
            </w:pPr>
            <w:r w:rsidDel="00000000" w:rsidR="00000000" w:rsidRPr="00000000">
              <w:rPr>
                <w:color w:val="000000"/>
                <w:rtl w:val="0"/>
              </w:rPr>
              <w:t xml:space="preserve">Марка модель</w:t>
            </w:r>
          </w:p>
        </w:tc>
        <w:tc>
          <w:tcPr>
            <w:shd w:fill="ffffff" w:val="clear"/>
            <w:tcMar>
              <w:top w:w="75.0" w:type="dxa"/>
              <w:left w:w="150.0" w:type="dxa"/>
              <w:bottom w:w="75.0" w:type="dxa"/>
              <w:right w:w="150.0" w:type="dxa"/>
            </w:tcMar>
          </w:tcPr>
          <w:p w:rsidR="00000000" w:rsidDel="00000000" w:rsidP="00000000" w:rsidRDefault="00000000" w:rsidRPr="00000000" w14:paraId="0000007D">
            <w:pPr>
              <w:spacing w:after="450" w:lineRule="auto"/>
              <w:jc w:val="center"/>
              <w:rPr>
                <w:color w:val="000000"/>
              </w:rPr>
            </w:pPr>
            <w:r w:rsidDel="00000000" w:rsidR="00000000" w:rsidRPr="00000000">
              <w:rPr>
                <w:color w:val="000000"/>
                <w:rtl w:val="0"/>
              </w:rPr>
              <w:t xml:space="preserve">Год выпуска</w:t>
            </w:r>
          </w:p>
        </w:tc>
        <w:tc>
          <w:tcPr>
            <w:shd w:fill="ffffff" w:val="clear"/>
            <w:tcMar>
              <w:top w:w="75.0" w:type="dxa"/>
              <w:left w:w="150.0" w:type="dxa"/>
              <w:bottom w:w="75.0" w:type="dxa"/>
              <w:right w:w="150.0" w:type="dxa"/>
            </w:tcMar>
          </w:tcPr>
          <w:p w:rsidR="00000000" w:rsidDel="00000000" w:rsidP="00000000" w:rsidRDefault="00000000" w:rsidRPr="00000000" w14:paraId="0000007E">
            <w:pPr>
              <w:spacing w:after="450" w:lineRule="auto"/>
              <w:jc w:val="center"/>
              <w:rPr>
                <w:color w:val="000000"/>
              </w:rPr>
            </w:pPr>
            <w:r w:rsidDel="00000000" w:rsidR="00000000" w:rsidRPr="00000000">
              <w:rPr>
                <w:color w:val="000000"/>
                <w:rtl w:val="0"/>
              </w:rPr>
              <w:t xml:space="preserve">Пробег</w:t>
            </w:r>
          </w:p>
        </w:tc>
        <w:tc>
          <w:tcPr>
            <w:shd w:fill="ffffff" w:val="clear"/>
            <w:tcMar>
              <w:top w:w="75.0" w:type="dxa"/>
              <w:left w:w="150.0" w:type="dxa"/>
              <w:bottom w:w="75.0" w:type="dxa"/>
              <w:right w:w="150.0" w:type="dxa"/>
            </w:tcMar>
          </w:tcPr>
          <w:p w:rsidR="00000000" w:rsidDel="00000000" w:rsidP="00000000" w:rsidRDefault="00000000" w:rsidRPr="00000000" w14:paraId="0000007F">
            <w:pPr>
              <w:spacing w:after="450" w:lineRule="auto"/>
              <w:jc w:val="center"/>
              <w:rPr>
                <w:color w:val="000000"/>
              </w:rPr>
            </w:pPr>
            <w:r w:rsidDel="00000000" w:rsidR="00000000" w:rsidRPr="00000000">
              <w:rPr>
                <w:color w:val="000000"/>
                <w:rtl w:val="0"/>
              </w:rPr>
              <w:t xml:space="preserve">Общая стоимость, руб.</w:t>
            </w:r>
          </w:p>
        </w:tc>
        <w:tc>
          <w:tcPr>
            <w:shd w:fill="ffffff" w:val="clear"/>
          </w:tcPr>
          <w:p w:rsidR="00000000" w:rsidDel="00000000" w:rsidP="00000000" w:rsidRDefault="00000000" w:rsidRPr="00000000" w14:paraId="00000080">
            <w:pPr>
              <w:spacing w:after="450" w:lineRule="auto"/>
              <w:jc w:val="center"/>
              <w:rPr>
                <w:color w:val="000000"/>
              </w:rPr>
            </w:pPr>
            <w:r w:rsidDel="00000000" w:rsidR="00000000" w:rsidRPr="00000000">
              <w:rPr>
                <w:color w:val="000000"/>
                <w:rtl w:val="0"/>
              </w:rPr>
              <w:t xml:space="preserve">Таможня </w:t>
            </w:r>
          </w:p>
        </w:tc>
        <w:tc>
          <w:tcPr>
            <w:shd w:fill="ffffff" w:val="clear"/>
          </w:tcPr>
          <w:p w:rsidR="00000000" w:rsidDel="00000000" w:rsidP="00000000" w:rsidRDefault="00000000" w:rsidRPr="00000000" w14:paraId="00000081">
            <w:pPr>
              <w:spacing w:after="450" w:lineRule="auto"/>
              <w:jc w:val="center"/>
              <w:rPr>
                <w:color w:val="000000"/>
              </w:rPr>
            </w:pPr>
            <w:r w:rsidDel="00000000" w:rsidR="00000000" w:rsidRPr="00000000">
              <w:rPr>
                <w:color w:val="000000"/>
                <w:rtl w:val="0"/>
              </w:rPr>
              <w:t xml:space="preserve">Доп оборудование</w:t>
            </w:r>
          </w:p>
        </w:tc>
      </w:tr>
      <w:tr>
        <w:trPr>
          <w:cantSplit w:val="0"/>
          <w:tblHeader w:val="0"/>
        </w:trPr>
        <w:tc>
          <w:tcPr>
            <w:shd w:fill="ffffff" w:val="clear"/>
            <w:tcMar>
              <w:top w:w="75.0" w:type="dxa"/>
              <w:left w:w="150.0" w:type="dxa"/>
              <w:bottom w:w="75.0" w:type="dxa"/>
              <w:right w:w="150.0" w:type="dxa"/>
            </w:tcMar>
          </w:tcPr>
          <w:p w:rsidR="00000000" w:rsidDel="00000000" w:rsidP="00000000" w:rsidRDefault="00000000" w:rsidRPr="00000000" w14:paraId="00000082">
            <w:pPr>
              <w:spacing w:after="450" w:lineRule="auto"/>
              <w:rPr>
                <w:color w:val="000000"/>
              </w:rPr>
            </w:pPr>
            <w:r w:rsidDel="00000000" w:rsidR="00000000" w:rsidRPr="00000000">
              <w:rPr>
                <w:color w:val="000000"/>
                <w:rtl w:val="0"/>
              </w:rPr>
              <w:t xml:space="preserve">1</w:t>
            </w:r>
          </w:p>
        </w:tc>
        <w:tc>
          <w:tcPr>
            <w:shd w:fill="ffffff" w:val="clear"/>
            <w:tcMar>
              <w:top w:w="75.0" w:type="dxa"/>
              <w:left w:w="150.0" w:type="dxa"/>
              <w:bottom w:w="75.0" w:type="dxa"/>
              <w:right w:w="150.0" w:type="dxa"/>
            </w:tcMar>
          </w:tcPr>
          <w:p w:rsidR="00000000" w:rsidDel="00000000" w:rsidP="00000000" w:rsidRDefault="00000000" w:rsidRPr="00000000" w14:paraId="00000083">
            <w:pPr>
              <w:spacing w:after="450" w:lineRule="auto"/>
              <w:rPr>
                <w:color w:val="000000"/>
              </w:rPr>
            </w:pPr>
            <w:r w:rsidDel="00000000" w:rsidR="00000000" w:rsidRPr="00000000">
              <w:rPr>
                <w:color w:val="000000"/>
                <w:rtl w:val="0"/>
              </w:rPr>
              <w:t xml:space="preserve">Тойота Эстима </w:t>
            </w:r>
          </w:p>
        </w:tc>
        <w:tc>
          <w:tcPr>
            <w:shd w:fill="ffffff" w:val="clear"/>
            <w:tcMar>
              <w:top w:w="75.0" w:type="dxa"/>
              <w:left w:w="150.0" w:type="dxa"/>
              <w:bottom w:w="75.0" w:type="dxa"/>
              <w:right w:w="150.0" w:type="dxa"/>
            </w:tcMar>
          </w:tcPr>
          <w:p w:rsidR="00000000" w:rsidDel="00000000" w:rsidP="00000000" w:rsidRDefault="00000000" w:rsidRPr="00000000" w14:paraId="00000084">
            <w:pPr>
              <w:spacing w:after="450" w:lineRule="auto"/>
              <w:jc w:val="center"/>
              <w:rPr>
                <w:color w:val="000000"/>
              </w:rPr>
            </w:pPr>
            <w:r w:rsidDel="00000000" w:rsidR="00000000" w:rsidRPr="00000000">
              <w:rPr>
                <w:color w:val="000000"/>
                <w:rtl w:val="0"/>
              </w:rPr>
              <w:t xml:space="preserve">От 2017</w:t>
            </w:r>
          </w:p>
        </w:tc>
        <w:tc>
          <w:tcPr>
            <w:shd w:fill="ffffff" w:val="clear"/>
            <w:tcMar>
              <w:top w:w="75.0" w:type="dxa"/>
              <w:left w:w="150.0" w:type="dxa"/>
              <w:bottom w:w="75.0" w:type="dxa"/>
              <w:right w:w="150.0" w:type="dxa"/>
            </w:tcMar>
          </w:tcPr>
          <w:p w:rsidR="00000000" w:rsidDel="00000000" w:rsidP="00000000" w:rsidRDefault="00000000" w:rsidRPr="00000000" w14:paraId="00000085">
            <w:pPr>
              <w:spacing w:after="450" w:lineRule="auto"/>
              <w:jc w:val="center"/>
              <w:rPr>
                <w:color w:val="000000"/>
              </w:rPr>
            </w:pPr>
            <w:r w:rsidDel="00000000" w:rsidR="00000000" w:rsidRPr="00000000">
              <w:rPr>
                <w:color w:val="000000"/>
                <w:rtl w:val="0"/>
              </w:rPr>
              <w:t xml:space="preserve">До 70000</w:t>
            </w:r>
          </w:p>
        </w:tc>
        <w:tc>
          <w:tcPr>
            <w:shd w:fill="ffffff" w:val="clear"/>
            <w:tcMar>
              <w:top w:w="75.0" w:type="dxa"/>
              <w:left w:w="150.0" w:type="dxa"/>
              <w:bottom w:w="75.0" w:type="dxa"/>
              <w:right w:w="150.0" w:type="dxa"/>
            </w:tcMar>
          </w:tcPr>
          <w:p w:rsidR="00000000" w:rsidDel="00000000" w:rsidP="00000000" w:rsidRDefault="00000000" w:rsidRPr="00000000" w14:paraId="00000086">
            <w:pPr>
              <w:spacing w:after="450" w:lineRule="auto"/>
              <w:jc w:val="center"/>
              <w:rPr>
                <w:color w:val="000000"/>
              </w:rPr>
            </w:pPr>
            <w:r w:rsidDel="00000000" w:rsidR="00000000" w:rsidRPr="00000000">
              <w:rPr>
                <w:color w:val="000000"/>
                <w:rtl w:val="0"/>
              </w:rPr>
              <w:t xml:space="preserve">1,500,000</w:t>
            </w:r>
          </w:p>
        </w:tc>
        <w:tc>
          <w:tcPr>
            <w:shd w:fill="ffffff" w:val="clear"/>
          </w:tcPr>
          <w:p w:rsidR="00000000" w:rsidDel="00000000" w:rsidP="00000000" w:rsidRDefault="00000000" w:rsidRPr="00000000" w14:paraId="00000087">
            <w:pPr>
              <w:spacing w:after="450" w:lineRule="auto"/>
              <w:jc w:val="center"/>
              <w:rPr>
                <w:color w:val="000000"/>
              </w:rPr>
            </w:pPr>
            <w:r w:rsidDel="00000000" w:rsidR="00000000" w:rsidRPr="00000000">
              <w:rPr>
                <w:color w:val="000000"/>
                <w:rtl w:val="0"/>
              </w:rPr>
              <w:t xml:space="preserve">Полная пошлина</w:t>
            </w:r>
          </w:p>
        </w:tc>
        <w:tc>
          <w:tcPr>
            <w:shd w:fill="ffffff" w:val="clear"/>
          </w:tcPr>
          <w:p w:rsidR="00000000" w:rsidDel="00000000" w:rsidP="00000000" w:rsidRDefault="00000000" w:rsidRPr="00000000" w14:paraId="00000088">
            <w:pPr>
              <w:spacing w:after="450" w:lineRule="auto"/>
              <w:jc w:val="center"/>
              <w:rPr>
                <w:color w:val="000000"/>
              </w:rPr>
            </w:pPr>
            <w:r w:rsidDel="00000000" w:rsidR="00000000" w:rsidRPr="00000000">
              <w:rPr>
                <w:rtl w:val="0"/>
              </w:rPr>
            </w:r>
          </w:p>
        </w:tc>
      </w:tr>
    </w:tbl>
    <w:p w:rsidR="00000000" w:rsidDel="00000000" w:rsidP="00000000" w:rsidRDefault="00000000" w:rsidRPr="00000000" w14:paraId="00000089">
      <w:pPr>
        <w:shd w:fill="ffffff" w:val="clear"/>
        <w:jc w:val="both"/>
        <w:rPr>
          <w:color w:val="000000"/>
        </w:rPr>
      </w:pPr>
      <w:r w:rsidDel="00000000" w:rsidR="00000000" w:rsidRPr="00000000">
        <w:rPr>
          <w:rtl w:val="0"/>
        </w:rPr>
      </w:r>
    </w:p>
    <w:p w:rsidR="00000000" w:rsidDel="00000000" w:rsidP="00000000" w:rsidRDefault="00000000" w:rsidRPr="00000000" w14:paraId="0000008A">
      <w:pPr>
        <w:shd w:fill="ffffff" w:val="clear"/>
        <w:jc w:val="both"/>
        <w:rPr>
          <w:color w:val="000000"/>
        </w:rPr>
      </w:pPr>
      <w:r w:rsidDel="00000000" w:rsidR="00000000" w:rsidRPr="00000000">
        <w:rPr>
          <w:rtl w:val="0"/>
        </w:rPr>
      </w:r>
    </w:p>
    <w:p w:rsidR="00000000" w:rsidDel="00000000" w:rsidP="00000000" w:rsidRDefault="00000000" w:rsidRPr="00000000" w14:paraId="0000008B">
      <w:pPr>
        <w:shd w:fill="ffffff" w:val="clear"/>
        <w:spacing w:after="450" w:before="280" w:lineRule="auto"/>
        <w:rPr>
          <w:color w:val="000000"/>
        </w:rPr>
      </w:pPr>
      <w:r w:rsidDel="00000000" w:rsidR="00000000" w:rsidRPr="00000000">
        <w:rPr>
          <w:color w:val="000000"/>
          <w:rtl w:val="0"/>
        </w:rPr>
        <w:t xml:space="preserve">Подписи сторон:</w:t>
      </w:r>
    </w:p>
    <w:p w:rsidR="00000000" w:rsidDel="00000000" w:rsidP="00000000" w:rsidRDefault="00000000" w:rsidRPr="00000000" w14:paraId="0000008C">
      <w:pPr>
        <w:shd w:fill="ffffff" w:val="clear"/>
        <w:spacing w:after="450" w:before="280" w:lineRule="auto"/>
        <w:rPr>
          <w:color w:val="000000"/>
        </w:rPr>
      </w:pPr>
      <w:r w:rsidDel="00000000" w:rsidR="00000000" w:rsidRPr="00000000">
        <w:rPr>
          <w:color w:val="000000"/>
          <w:rtl w:val="0"/>
        </w:rPr>
        <w:t xml:space="preserve">Заказчик _____________________            Исполнитель_________________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М.П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sectPr>
      <w:pgSz w:h="16838" w:w="11906" w:orient="portrait"/>
      <w:pgMar w:bottom="1276" w:top="993" w:left="1418" w:right="99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217" w:hanging="360"/>
      </w:pPr>
      <w:rPr>
        <w:rFonts w:ascii="Noto Sans Symbols" w:cs="Noto Sans Symbols" w:eastAsia="Noto Sans Symbols" w:hAnsi="Noto Sans Symbols"/>
      </w:rPr>
    </w:lvl>
    <w:lvl w:ilvl="1">
      <w:start w:val="1"/>
      <w:numFmt w:val="bullet"/>
      <w:lvlText w:val="o"/>
      <w:lvlJc w:val="left"/>
      <w:pPr>
        <w:ind w:left="2937" w:hanging="360"/>
      </w:pPr>
      <w:rPr>
        <w:rFonts w:ascii="Courier New" w:cs="Courier New" w:eastAsia="Courier New" w:hAnsi="Courier New"/>
      </w:rPr>
    </w:lvl>
    <w:lvl w:ilvl="2">
      <w:start w:val="1"/>
      <w:numFmt w:val="bullet"/>
      <w:lvlText w:val="▪"/>
      <w:lvlJc w:val="left"/>
      <w:pPr>
        <w:ind w:left="3657" w:hanging="360"/>
      </w:pPr>
      <w:rPr>
        <w:rFonts w:ascii="Noto Sans Symbols" w:cs="Noto Sans Symbols" w:eastAsia="Noto Sans Symbols" w:hAnsi="Noto Sans Symbols"/>
      </w:rPr>
    </w:lvl>
    <w:lvl w:ilvl="3">
      <w:start w:val="1"/>
      <w:numFmt w:val="bullet"/>
      <w:lvlText w:val="●"/>
      <w:lvlJc w:val="left"/>
      <w:pPr>
        <w:ind w:left="4377" w:hanging="360"/>
      </w:pPr>
      <w:rPr>
        <w:rFonts w:ascii="Noto Sans Symbols" w:cs="Noto Sans Symbols" w:eastAsia="Noto Sans Symbols" w:hAnsi="Noto Sans Symbols"/>
      </w:rPr>
    </w:lvl>
    <w:lvl w:ilvl="4">
      <w:start w:val="1"/>
      <w:numFmt w:val="bullet"/>
      <w:lvlText w:val="o"/>
      <w:lvlJc w:val="left"/>
      <w:pPr>
        <w:ind w:left="5097" w:hanging="360"/>
      </w:pPr>
      <w:rPr>
        <w:rFonts w:ascii="Courier New" w:cs="Courier New" w:eastAsia="Courier New" w:hAnsi="Courier New"/>
      </w:rPr>
    </w:lvl>
    <w:lvl w:ilvl="5">
      <w:start w:val="1"/>
      <w:numFmt w:val="bullet"/>
      <w:lvlText w:val="▪"/>
      <w:lvlJc w:val="left"/>
      <w:pPr>
        <w:ind w:left="5817" w:hanging="360"/>
      </w:pPr>
      <w:rPr>
        <w:rFonts w:ascii="Noto Sans Symbols" w:cs="Noto Sans Symbols" w:eastAsia="Noto Sans Symbols" w:hAnsi="Noto Sans Symbols"/>
      </w:rPr>
    </w:lvl>
    <w:lvl w:ilvl="6">
      <w:start w:val="1"/>
      <w:numFmt w:val="bullet"/>
      <w:lvlText w:val="●"/>
      <w:lvlJc w:val="left"/>
      <w:pPr>
        <w:ind w:left="6537" w:hanging="360"/>
      </w:pPr>
      <w:rPr>
        <w:rFonts w:ascii="Noto Sans Symbols" w:cs="Noto Sans Symbols" w:eastAsia="Noto Sans Symbols" w:hAnsi="Noto Sans Symbols"/>
      </w:rPr>
    </w:lvl>
    <w:lvl w:ilvl="7">
      <w:start w:val="1"/>
      <w:numFmt w:val="bullet"/>
      <w:lvlText w:val="o"/>
      <w:lvlJc w:val="left"/>
      <w:pPr>
        <w:ind w:left="7257" w:hanging="360"/>
      </w:pPr>
      <w:rPr>
        <w:rFonts w:ascii="Courier New" w:cs="Courier New" w:eastAsia="Courier New" w:hAnsi="Courier New"/>
      </w:rPr>
    </w:lvl>
    <w:lvl w:ilvl="8">
      <w:start w:val="1"/>
      <w:numFmt w:val="bullet"/>
      <w:lvlText w:val="▪"/>
      <w:lvlJc w:val="left"/>
      <w:pPr>
        <w:ind w:left="7977" w:hanging="360"/>
      </w:pPr>
      <w:rPr>
        <w:rFonts w:ascii="Noto Sans Symbols" w:cs="Noto Sans Symbols" w:eastAsia="Noto Sans Symbols" w:hAnsi="Noto Sans Symbols"/>
      </w:rPr>
    </w:lvl>
  </w:abstractNum>
  <w:abstractNum w:abstractNumId="4">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5">
    <w:lvl w:ilvl="0">
      <w:start w:val="1"/>
      <w:numFmt w:val="decimal"/>
      <w:lvlText w:val="%1."/>
      <w:lvlJc w:val="left"/>
      <w:pPr>
        <w:ind w:left="644" w:hanging="359.99999999999994"/>
      </w:pPr>
      <w:rPr/>
    </w:lvl>
    <w:lvl w:ilvl="1">
      <w:start w:val="1"/>
      <w:numFmt w:val="decimal"/>
      <w:lvlText w:val="%1.%2"/>
      <w:lvlJc w:val="left"/>
      <w:pPr>
        <w:ind w:left="1497" w:hanging="930.0000000000001"/>
      </w:pPr>
      <w:rPr/>
    </w:lvl>
    <w:lvl w:ilvl="2">
      <w:start w:val="1"/>
      <w:numFmt w:val="decimal"/>
      <w:lvlText w:val="%1.%2.%3"/>
      <w:lvlJc w:val="left"/>
      <w:pPr>
        <w:ind w:left="1780" w:hanging="930"/>
      </w:pPr>
      <w:rPr/>
    </w:lvl>
    <w:lvl w:ilvl="3">
      <w:start w:val="1"/>
      <w:numFmt w:val="decimal"/>
      <w:lvlText w:val="%1.%2.%3.%4"/>
      <w:lvlJc w:val="left"/>
      <w:pPr>
        <w:ind w:left="2063" w:hanging="930"/>
      </w:pPr>
      <w:rPr/>
    </w:lvl>
    <w:lvl w:ilvl="4">
      <w:start w:val="1"/>
      <w:numFmt w:val="decimal"/>
      <w:lvlText w:val="%1.%2.%3.%4.%5"/>
      <w:lvlJc w:val="left"/>
      <w:pPr>
        <w:ind w:left="2496" w:hanging="1080"/>
      </w:pPr>
      <w:rPr/>
    </w:lvl>
    <w:lvl w:ilvl="5">
      <w:start w:val="1"/>
      <w:numFmt w:val="decimal"/>
      <w:lvlText w:val="%1.%2.%3.%4.%5.%6"/>
      <w:lvlJc w:val="left"/>
      <w:pPr>
        <w:ind w:left="2779" w:hanging="1080.0000000000002"/>
      </w:pPr>
      <w:rPr/>
    </w:lvl>
    <w:lvl w:ilvl="6">
      <w:start w:val="1"/>
      <w:numFmt w:val="decimal"/>
      <w:lvlText w:val="%1.%2.%3.%4.%5.%6.%7"/>
      <w:lvlJc w:val="left"/>
      <w:pPr>
        <w:ind w:left="3422" w:hanging="1440"/>
      </w:pPr>
      <w:rPr/>
    </w:lvl>
    <w:lvl w:ilvl="7">
      <w:start w:val="1"/>
      <w:numFmt w:val="decimal"/>
      <w:lvlText w:val="%1.%2.%3.%4.%5.%6.%7.%8"/>
      <w:lvlJc w:val="left"/>
      <w:pPr>
        <w:ind w:left="3705" w:hanging="1440"/>
      </w:pPr>
      <w:rPr/>
    </w:lvl>
    <w:lvl w:ilvl="8">
      <w:start w:val="1"/>
      <w:numFmt w:val="decimal"/>
      <w:lvlText w:val="%1.%2.%3.%4.%5.%6.%7.%8.%9"/>
      <w:lvlJc w:val="left"/>
      <w:pPr>
        <w:ind w:left="4348" w:hanging="1800"/>
      </w:pPr>
      <w:rPr/>
    </w:lvl>
  </w:abstractNum>
  <w:abstractNum w:abstractNumId="6">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7">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32546A"/>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172D30"/>
    <w:pPr>
      <w:ind w:left="720"/>
      <w:contextualSpacing w:val="1"/>
    </w:pPr>
  </w:style>
  <w:style w:type="table" w:styleId="a4">
    <w:name w:val="Table Grid"/>
    <w:basedOn w:val="a1"/>
    <w:uiPriority w:val="59"/>
    <w:rsid w:val="00AF201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Hyperlink"/>
    <w:basedOn w:val="a0"/>
    <w:uiPriority w:val="99"/>
    <w:unhideWhenUsed w:val="1"/>
    <w:rsid w:val="00AF2014"/>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b1B9iTbfuq0DS67zdkRYB4i+Q==">AMUW2mV/kYeIIx8oA6ObJ9gkHVp/PSALUQl3RrpV1RO8b3caL0zYEunn3CDs2MIHQXPvxEfJxLUlaOT40+wxtIybM7q7YCkgJQXkK+5RzlRBKfiUPEo7DV4=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2022-08-01T13:16:00Z</dcterms:created>
  <dc:creator>Пользователь Windows</dc:creator>
</cp:coreProperties>
</file>